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****专业实施性人才培养方案</w:t>
      </w:r>
    </w:p>
    <w:p>
      <w:pPr>
        <w:widowControl/>
        <w:jc w:val="left"/>
      </w:pPr>
      <w:r>
        <w:br w:type="page"/>
      </w:r>
    </w:p>
    <w:p>
      <w:pPr>
        <w:spacing w:before="156" w:beforeLines="50" w:after="156" w:afterLines="50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第一部分：专业人才培养与标准</w:t>
      </w:r>
    </w:p>
    <w:p>
      <w:pPr>
        <w:spacing w:line="440" w:lineRule="exact"/>
        <w:ind w:firstLine="442" w:firstLineChars="200"/>
        <w:rPr>
          <w:rFonts w:hAnsi="黑体" w:eastAsia="黑体"/>
          <w:smallCaps/>
          <w:color w:val="000000"/>
          <w:spacing w:val="5"/>
        </w:rPr>
      </w:pPr>
      <w:r>
        <w:rPr>
          <w:rFonts w:hint="eastAsia" w:ascii="黑体" w:hAnsi="黑体" w:eastAsia="黑体"/>
          <w:b/>
          <w:bCs/>
          <w:smallCaps/>
          <w:color w:val="000000"/>
          <w:spacing w:val="5"/>
        </w:rPr>
        <w:t>一、专业基本信息</w:t>
      </w:r>
    </w:p>
    <w:p>
      <w:pPr>
        <w:spacing w:line="44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（一）专业名称</w:t>
      </w:r>
    </w:p>
    <w:p>
      <w:pPr>
        <w:spacing w:line="440" w:lineRule="exact"/>
        <w:ind w:firstLine="840" w:firstLineChars="4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****专业   专业代码</w:t>
      </w:r>
      <w:r>
        <w:rPr>
          <w:rFonts w:hint="eastAsia"/>
          <w:color w:val="000000"/>
        </w:rPr>
        <w:t>****</w:t>
      </w:r>
    </w:p>
    <w:p>
      <w:pPr>
        <w:spacing w:line="44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（二）招生对象</w:t>
      </w:r>
    </w:p>
    <w:p>
      <w:pPr>
        <w:spacing w:line="44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（三）标准学制</w:t>
      </w:r>
    </w:p>
    <w:p>
      <w:pPr>
        <w:spacing w:line="440" w:lineRule="exact"/>
        <w:ind w:firstLine="840" w:firstLineChars="4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3学年</w:t>
      </w:r>
    </w:p>
    <w:p>
      <w:pPr>
        <w:spacing w:line="44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（四）教育类型和学历层次</w:t>
      </w:r>
    </w:p>
    <w:p>
      <w:pPr>
        <w:spacing w:line="440" w:lineRule="exact"/>
        <w:ind w:firstLine="840" w:firstLineChars="4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普通高等职业教育、专科</w:t>
      </w:r>
    </w:p>
    <w:p>
      <w:pPr>
        <w:spacing w:line="440" w:lineRule="exact"/>
        <w:ind w:firstLine="442" w:firstLineChars="200"/>
        <w:rPr>
          <w:rFonts w:hAnsi="黑体" w:eastAsia="黑体"/>
          <w:smallCaps/>
          <w:color w:val="000000"/>
          <w:spacing w:val="5"/>
        </w:rPr>
      </w:pPr>
      <w:r>
        <w:rPr>
          <w:rFonts w:hint="eastAsia" w:ascii="黑体" w:hAnsi="黑体" w:eastAsia="黑体"/>
          <w:b/>
          <w:bCs/>
          <w:smallCaps/>
          <w:color w:val="000000"/>
          <w:spacing w:val="5"/>
        </w:rPr>
        <w:t>二、人才培养目标及规格</w:t>
      </w:r>
    </w:p>
    <w:p>
      <w:pPr>
        <w:spacing w:line="44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（一）培养目标</w:t>
      </w:r>
    </w:p>
    <w:p>
      <w:pPr>
        <w:spacing w:line="440" w:lineRule="exact"/>
        <w:ind w:firstLine="840" w:firstLineChars="4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……高素质技术技能型人才。</w:t>
      </w:r>
    </w:p>
    <w:p>
      <w:pPr>
        <w:spacing w:line="44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（二）人才规格</w:t>
      </w:r>
    </w:p>
    <w:p>
      <w:pPr>
        <w:spacing w:line="44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1、职业知识</w:t>
      </w:r>
    </w:p>
    <w:p>
      <w:pPr>
        <w:spacing w:line="44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2、职业能力</w:t>
      </w:r>
    </w:p>
    <w:p>
      <w:pPr>
        <w:spacing w:line="44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3、职业素质</w:t>
      </w:r>
    </w:p>
    <w:p>
      <w:pPr>
        <w:spacing w:line="440" w:lineRule="exact"/>
        <w:ind w:firstLine="442" w:firstLineChars="200"/>
        <w:rPr>
          <w:rFonts w:hAnsi="黑体" w:eastAsia="黑体"/>
          <w:smallCaps/>
          <w:color w:val="000000"/>
          <w:spacing w:val="5"/>
        </w:rPr>
      </w:pPr>
      <w:r>
        <w:rPr>
          <w:rFonts w:hint="eastAsia" w:ascii="黑体" w:hAnsi="黑体" w:eastAsia="黑体"/>
          <w:b/>
          <w:bCs/>
          <w:smallCaps/>
          <w:color w:val="000000"/>
          <w:spacing w:val="5"/>
        </w:rPr>
        <w:t>三、就业岗位</w:t>
      </w:r>
    </w:p>
    <w:p>
      <w:pPr>
        <w:spacing w:line="440" w:lineRule="exact"/>
        <w:ind w:firstLine="442" w:firstLineChars="200"/>
        <w:rPr>
          <w:rFonts w:hAnsi="黑体" w:eastAsia="黑体"/>
          <w:smallCaps/>
          <w:color w:val="000000"/>
          <w:spacing w:val="5"/>
        </w:rPr>
      </w:pPr>
      <w:r>
        <w:rPr>
          <w:rFonts w:hint="eastAsia" w:ascii="黑体" w:hAnsi="黑体" w:eastAsia="黑体"/>
          <w:b/>
          <w:bCs/>
          <w:smallCaps/>
          <w:color w:val="000000"/>
          <w:spacing w:val="5"/>
        </w:rPr>
        <w:t>四、职业能力分析</w:t>
      </w:r>
    </w:p>
    <w:p>
      <w:pPr>
        <w:spacing w:line="44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（一）基础能力</w:t>
      </w:r>
    </w:p>
    <w:p>
      <w:pPr>
        <w:snapToGrid w:val="0"/>
        <w:spacing w:line="360" w:lineRule="exact"/>
        <w:ind w:firstLine="420" w:firstLineChars="200"/>
        <w:jc w:val="center"/>
        <w:rPr>
          <w:color w:val="000000"/>
        </w:rPr>
      </w:pPr>
      <w:r>
        <w:rPr>
          <w:rFonts w:hint="eastAsia" w:ascii="宋体" w:hAnsi="宋体"/>
          <w:color w:val="000000"/>
        </w:rPr>
        <w:t>表</w:t>
      </w:r>
      <w:r>
        <w:rPr>
          <w:color w:val="000000"/>
        </w:rPr>
        <w:t>1</w:t>
      </w:r>
      <w:r>
        <w:rPr>
          <w:rFonts w:hint="eastAsia" w:ascii="宋体" w:hAnsi="宋体"/>
          <w:color w:val="000000"/>
        </w:rPr>
        <w:t>-1</w:t>
      </w:r>
      <w:r>
        <w:rPr>
          <w:color w:val="000000"/>
        </w:rPr>
        <w:t xml:space="preserve">  </w:t>
      </w:r>
      <w:r>
        <w:rPr>
          <w:rFonts w:hint="eastAsia" w:ascii="宋体" w:hAnsi="宋体"/>
          <w:color w:val="000000"/>
        </w:rPr>
        <w:t>职业基础能力分析</w:t>
      </w:r>
    </w:p>
    <w:tbl>
      <w:tblPr>
        <w:tblStyle w:val="3"/>
        <w:tblW w:w="90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1"/>
        <w:gridCol w:w="225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8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基础能力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支撑课程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技能（水平）证书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  <w:tc>
          <w:tcPr>
            <w:tcW w:w="225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  <w:tc>
          <w:tcPr>
            <w:tcW w:w="29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</w:tr>
    </w:tbl>
    <w:p>
      <w:pPr>
        <w:spacing w:line="36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（二）岗位能力</w:t>
      </w:r>
    </w:p>
    <w:p>
      <w:pPr>
        <w:snapToGrid w:val="0"/>
        <w:spacing w:line="360" w:lineRule="exact"/>
        <w:ind w:firstLine="420" w:firstLineChars="200"/>
        <w:jc w:val="center"/>
        <w:rPr>
          <w:color w:val="000000"/>
        </w:rPr>
      </w:pPr>
      <w:r>
        <w:rPr>
          <w:rFonts w:hint="eastAsia" w:ascii="宋体" w:hAnsi="宋体"/>
          <w:color w:val="000000"/>
        </w:rPr>
        <w:t>表1-</w:t>
      </w:r>
      <w:r>
        <w:rPr>
          <w:color w:val="000000"/>
        </w:rPr>
        <w:t xml:space="preserve">2  </w:t>
      </w:r>
      <w:r>
        <w:rPr>
          <w:rFonts w:hint="eastAsia" w:ascii="宋体" w:hAnsi="宋体"/>
          <w:color w:val="000000"/>
        </w:rPr>
        <w:t>职业岗位能力分析</w:t>
      </w:r>
    </w:p>
    <w:tbl>
      <w:tblPr>
        <w:tblStyle w:val="3"/>
        <w:tblW w:w="91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2224"/>
        <w:gridCol w:w="2329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工作岗位</w:t>
            </w:r>
          </w:p>
        </w:tc>
        <w:tc>
          <w:tcPr>
            <w:tcW w:w="222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典型工作任务</w:t>
            </w:r>
          </w:p>
        </w:tc>
        <w:tc>
          <w:tcPr>
            <w:tcW w:w="232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职业能力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支撑课程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4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4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334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  <w:tc>
          <w:tcPr>
            <w:tcW w:w="2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3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（三）拓展能力</w:t>
      </w:r>
    </w:p>
    <w:p>
      <w:pPr>
        <w:snapToGrid w:val="0"/>
        <w:spacing w:line="360" w:lineRule="exact"/>
        <w:ind w:firstLine="420" w:firstLineChars="200"/>
        <w:jc w:val="center"/>
        <w:rPr>
          <w:color w:val="000000"/>
        </w:rPr>
      </w:pPr>
      <w:r>
        <w:rPr>
          <w:rFonts w:hint="eastAsia" w:ascii="宋体" w:hAnsi="宋体"/>
          <w:color w:val="000000"/>
        </w:rPr>
        <w:t>表1-</w:t>
      </w:r>
      <w:r>
        <w:rPr>
          <w:color w:val="000000"/>
        </w:rPr>
        <w:t xml:space="preserve">3  </w:t>
      </w:r>
      <w:r>
        <w:rPr>
          <w:rFonts w:hint="eastAsia" w:ascii="宋体" w:hAnsi="宋体"/>
          <w:color w:val="000000"/>
        </w:rPr>
        <w:t>职业拓展能力分析</w:t>
      </w:r>
    </w:p>
    <w:tbl>
      <w:tblPr>
        <w:tblStyle w:val="3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603"/>
        <w:gridCol w:w="1842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工作岗位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典型工作任务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职业能力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支撑课程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技能证书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  <w:tc>
          <w:tcPr>
            <w:tcW w:w="260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spacing w:line="440" w:lineRule="exact"/>
        <w:ind w:firstLine="442" w:firstLineChars="200"/>
        <w:rPr>
          <w:rFonts w:hAnsi="黑体" w:eastAsia="黑体"/>
          <w:smallCaps/>
          <w:color w:val="000000"/>
          <w:spacing w:val="5"/>
        </w:rPr>
      </w:pPr>
      <w:r>
        <w:rPr>
          <w:rFonts w:hint="eastAsia" w:ascii="黑体" w:hAnsi="黑体" w:eastAsia="黑体"/>
          <w:b/>
          <w:bCs/>
          <w:smallCaps/>
          <w:color w:val="000000"/>
          <w:spacing w:val="5"/>
        </w:rPr>
        <w:t>五、课程教学内容与要求（包括课程简介、学时要求、学习目标等）</w:t>
      </w:r>
    </w:p>
    <w:p>
      <w:pPr>
        <w:spacing w:line="44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（一）通识教育课程</w:t>
      </w:r>
    </w:p>
    <w:p>
      <w:pPr>
        <w:spacing w:line="44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（二）专业平台课程</w:t>
      </w:r>
    </w:p>
    <w:p>
      <w:pPr>
        <w:spacing w:line="44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（三）专业职能课程</w:t>
      </w:r>
    </w:p>
    <w:p>
      <w:pPr>
        <w:spacing w:line="44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（四）专业拓展课程</w:t>
      </w:r>
    </w:p>
    <w:p>
      <w:pPr>
        <w:spacing w:line="440" w:lineRule="exact"/>
        <w:ind w:firstLine="840" w:firstLineChars="4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1、限选课</w:t>
      </w:r>
    </w:p>
    <w:p>
      <w:pPr>
        <w:spacing w:line="440" w:lineRule="exact"/>
        <w:ind w:firstLine="840" w:firstLineChars="4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2、任选课</w:t>
      </w:r>
      <w:r>
        <w:rPr>
          <w:rFonts w:hAnsi="宋体"/>
          <w:color w:val="000000"/>
        </w:rPr>
        <w:tab/>
      </w:r>
    </w:p>
    <w:p>
      <w:pPr>
        <w:spacing w:line="44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（五）专项实训</w:t>
      </w:r>
    </w:p>
    <w:tbl>
      <w:tblPr>
        <w:tblStyle w:val="4"/>
        <w:tblW w:w="91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710"/>
        <w:gridCol w:w="2393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实训名称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学时</w:t>
            </w: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课程属性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color w:val="000000"/>
                <w:kern w:val="2"/>
                <w:sz w:val="21"/>
              </w:rPr>
            </w:pPr>
          </w:p>
        </w:tc>
      </w:tr>
    </w:tbl>
    <w:p>
      <w:pPr>
        <w:spacing w:line="4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br w:type="page"/>
      </w:r>
      <w:r>
        <w:rPr>
          <w:rFonts w:hint="eastAsia" w:ascii="黑体" w:hAnsi="黑体" w:eastAsia="黑体"/>
          <w:b/>
          <w:bCs/>
          <w:smallCaps/>
          <w:color w:val="000000"/>
          <w:spacing w:val="5"/>
        </w:rPr>
        <w:t>六、教学进程表</w:t>
      </w:r>
    </w:p>
    <w:p>
      <w:pPr>
        <w:spacing w:line="360" w:lineRule="exact"/>
        <w:ind w:firstLine="442" w:firstLineChars="200"/>
        <w:rPr>
          <w:rFonts w:hint="eastAsia" w:hAnsi="黑体" w:eastAsia="黑体"/>
          <w:smallCaps/>
          <w:color w:val="000000"/>
          <w:spacing w:val="5"/>
        </w:rPr>
      </w:pPr>
      <w:r>
        <w:rPr>
          <w:rFonts w:hint="eastAsia" w:ascii="黑体" w:hAnsi="黑体" w:eastAsia="黑体"/>
          <w:b/>
          <w:bCs/>
          <w:smallCaps/>
          <w:color w:val="000000"/>
          <w:spacing w:val="5"/>
        </w:rPr>
        <w:t>七、成绩考核和毕业资格与要求</w:t>
      </w:r>
    </w:p>
    <w:p>
      <w:pPr>
        <w:spacing w:line="36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（一）成绩考核</w:t>
      </w:r>
    </w:p>
    <w:p>
      <w:pPr>
        <w:spacing w:line="36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采取多元化的考核评价方法，重视实践考核，突出高职特色。考试方式要突出多样性、针对性、生动性。要把课程终结考试与过程考核中学生取得的成绩，作为判断学生成绩的重要依据。</w:t>
      </w:r>
    </w:p>
    <w:p>
      <w:pPr>
        <w:spacing w:line="36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1．考试课程。采用百分记分制，主要依据平时成绩、过程性考核、期末成绩评定。</w:t>
      </w:r>
    </w:p>
    <w:p>
      <w:pPr>
        <w:spacing w:line="36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2．考查课程。采用百分记分制，主要依据各种平时考查成绩和阶段性考试成绩综合评定。</w:t>
      </w:r>
    </w:p>
    <w:p>
      <w:pPr>
        <w:spacing w:line="36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 xml:space="preserve">3．实训、实习和毕业答辩。采用五级记分制，即优秀、良好、中等、合格和不合格。   </w:t>
      </w:r>
    </w:p>
    <w:p>
      <w:pPr>
        <w:spacing w:line="36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（二）毕业资格与要求</w:t>
      </w:r>
    </w:p>
    <w:p>
      <w:pPr>
        <w:spacing w:line="36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学生毕业必须同时具备以下四项条件：</w:t>
      </w:r>
    </w:p>
    <w:p>
      <w:pPr>
        <w:spacing w:line="36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1．思想品质和职业道德合格。</w:t>
      </w:r>
    </w:p>
    <w:p>
      <w:pPr>
        <w:spacing w:line="36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2．修完规定课程，成绩合格，取得</w:t>
      </w:r>
      <w:r>
        <w:rPr>
          <w:rFonts w:hint="eastAsia"/>
          <w:color w:val="000000"/>
        </w:rPr>
        <w:t>**</w:t>
      </w:r>
      <w:r>
        <w:rPr>
          <w:rFonts w:hint="eastAsia" w:ascii="宋体" w:hAnsi="宋体"/>
          <w:color w:val="000000"/>
        </w:rPr>
        <w:t>学分，其中必修课程</w:t>
      </w:r>
      <w:r>
        <w:rPr>
          <w:rFonts w:hint="eastAsia"/>
          <w:color w:val="000000"/>
        </w:rPr>
        <w:t>**</w:t>
      </w:r>
      <w:r>
        <w:rPr>
          <w:rFonts w:hint="eastAsia" w:ascii="宋体" w:hAnsi="宋体"/>
          <w:color w:val="000000"/>
        </w:rPr>
        <w:t>学分，限选课</w:t>
      </w:r>
      <w:r>
        <w:rPr>
          <w:rFonts w:hint="eastAsia"/>
          <w:color w:val="000000"/>
        </w:rPr>
        <w:t>**</w:t>
      </w:r>
      <w:r>
        <w:rPr>
          <w:rFonts w:hint="eastAsia" w:ascii="宋体" w:hAnsi="宋体"/>
          <w:color w:val="000000"/>
        </w:rPr>
        <w:t>学分，任选课</w:t>
      </w:r>
      <w:r>
        <w:rPr>
          <w:rFonts w:hint="eastAsia"/>
          <w:color w:val="000000"/>
        </w:rPr>
        <w:t>**</w:t>
      </w:r>
      <w:r>
        <w:rPr>
          <w:rFonts w:hint="eastAsia" w:ascii="宋体" w:hAnsi="宋体"/>
          <w:color w:val="000000"/>
        </w:rPr>
        <w:t>学分。</w:t>
      </w:r>
    </w:p>
    <w:p>
      <w:pPr>
        <w:spacing w:line="36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3．取得如下技能证书：</w:t>
      </w:r>
    </w:p>
    <w:p>
      <w:pPr>
        <w:spacing w:line="36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（1）通用能力水平证书（计算机证书、英语等级证书）：</w:t>
      </w:r>
    </w:p>
    <w:p>
      <w:pPr>
        <w:spacing w:line="360" w:lineRule="exact"/>
        <w:ind w:firstLine="420" w:firstLineChars="200"/>
        <w:rPr>
          <w:rFonts w:hAnsi="宋体"/>
          <w:color w:val="000000"/>
        </w:rPr>
      </w:pPr>
      <w:r>
        <w:rPr>
          <w:rFonts w:hint="eastAsia" w:ascii="宋体" w:hAnsi="宋体"/>
          <w:color w:val="000000"/>
        </w:rPr>
        <w:t>（2）职业资格证书（至少3种，学生取得其一即可）：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4．顶岗实习成绩与毕业答辩合格。</w:t>
      </w:r>
    </w:p>
    <w:p>
      <w:pPr>
        <w:spacing w:line="360" w:lineRule="exact"/>
        <w:ind w:firstLine="442" w:firstLineChars="200"/>
        <w:rPr>
          <w:rFonts w:hint="eastAsia" w:ascii="黑体" w:hAnsi="黑体" w:eastAsia="黑体"/>
          <w:b/>
          <w:bCs/>
          <w:smallCaps/>
          <w:color w:val="000000"/>
          <w:spacing w:val="5"/>
        </w:rPr>
      </w:pPr>
      <w:r>
        <w:rPr>
          <w:rFonts w:hint="eastAsia" w:ascii="黑体" w:hAnsi="黑体" w:eastAsia="黑体"/>
          <w:b/>
          <w:bCs/>
          <w:smallCaps/>
          <w:color w:val="000000"/>
          <w:spacing w:val="5"/>
        </w:rPr>
        <w:t>八、关于学分折算及申请免修的说明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1.根据《高等职业教育创新发展行动计划（2015-2018）》文件精神，为培养学生的创新创业精神和实践能力，促进学生个性发展，鼓励人才冒尖，学院不断完善各类支持政策，建立创新创业学分积累与转换制度，将学生开展创新实验、发表论文、参与课题研究、获得专利、自主创业等折算为学分，为积极参加创新创业的学生提供更多的支持与机会。具体学分折算方法参照《南通航运职业技术学院学生学分奖励实施办法》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2.学生在学分有富余的情况下，可按《南通航运职业技术学院学生学分奖励实施办法》中相关程序申请限选课、弹性专业课免修，由教务处组织认定，成绩按照“良好”或“85分”记载。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3.学生通过全国大学英语四级考试，可向教务处申请大学英语（或高职高专英语）课程免修，英语成绩根据四级考试成绩折算（以四级成绩425分为80分标准折算）。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widowControl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center"/>
        <w:textAlignment w:val="auto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第二部分：人才培养的实施条件与保障</w:t>
      </w:r>
    </w:p>
    <w:p>
      <w:pPr>
        <w:pStyle w:val="7"/>
        <w:numPr>
          <w:ilvl w:val="0"/>
          <w:numId w:val="1"/>
        </w:numPr>
        <w:spacing w:line="360" w:lineRule="exact"/>
        <w:ind w:firstLineChars="0"/>
        <w:rPr>
          <w:rFonts w:hint="eastAsia" w:ascii="黑体" w:hAnsi="黑体" w:eastAsia="黑体"/>
          <w:b/>
          <w:bCs/>
          <w:smallCaps/>
          <w:color w:val="000000"/>
          <w:spacing w:val="5"/>
        </w:rPr>
      </w:pPr>
      <w:r>
        <w:rPr>
          <w:rFonts w:hint="eastAsia" w:ascii="黑体" w:hAnsi="黑体" w:eastAsia="黑体"/>
          <w:b/>
          <w:bCs/>
          <w:smallCaps/>
          <w:color w:val="000000"/>
          <w:spacing w:val="5"/>
        </w:rPr>
        <w:t>人才培养模式</w:t>
      </w:r>
    </w:p>
    <w:p>
      <w:pPr>
        <w:spacing w:line="360" w:lineRule="exact"/>
        <w:rPr>
          <w:rFonts w:hint="eastAsia" w:ascii="黑体" w:hAnsi="黑体" w:eastAsia="黑体"/>
          <w:b/>
          <w:bCs/>
          <w:smallCaps/>
          <w:color w:val="000000"/>
          <w:spacing w:val="5"/>
        </w:rPr>
      </w:pPr>
      <w:bookmarkStart w:id="0" w:name="_GoBack"/>
      <w:bookmarkEnd w:id="0"/>
    </w:p>
    <w:p>
      <w:pPr>
        <w:spacing w:line="360" w:lineRule="exact"/>
        <w:rPr>
          <w:rFonts w:hint="eastAsia" w:ascii="黑体" w:hAnsi="黑体" w:eastAsia="黑体"/>
          <w:b/>
          <w:bCs/>
          <w:smallCaps/>
          <w:color w:val="000000"/>
          <w:spacing w:val="5"/>
        </w:rPr>
      </w:pPr>
    </w:p>
    <w:p>
      <w:pPr>
        <w:pStyle w:val="7"/>
        <w:numPr>
          <w:ilvl w:val="0"/>
          <w:numId w:val="1"/>
        </w:numPr>
        <w:spacing w:line="360" w:lineRule="exact"/>
        <w:ind w:firstLineChars="0"/>
        <w:rPr>
          <w:rFonts w:hint="eastAsia" w:ascii="黑体" w:hAnsi="黑体" w:eastAsia="黑体"/>
          <w:b/>
          <w:bCs/>
          <w:smallCaps/>
          <w:color w:val="000000"/>
          <w:spacing w:val="5"/>
        </w:rPr>
      </w:pPr>
      <w:r>
        <w:rPr>
          <w:rFonts w:hint="eastAsia" w:ascii="黑体" w:hAnsi="黑体" w:eastAsia="黑体"/>
          <w:b/>
          <w:bCs/>
          <w:smallCaps/>
          <w:color w:val="000000"/>
          <w:spacing w:val="5"/>
        </w:rPr>
        <w:t>人才培养实施条件</w:t>
      </w:r>
    </w:p>
    <w:p>
      <w:pPr>
        <w:pStyle w:val="7"/>
        <w:numPr>
          <w:ilvl w:val="0"/>
          <w:numId w:val="2"/>
        </w:numPr>
        <w:spacing w:line="360" w:lineRule="exact"/>
        <w:ind w:firstLineChars="0"/>
        <w:rPr>
          <w:rFonts w:hint="eastAsia" w:hAnsi="宋体"/>
          <w:color w:val="000000"/>
        </w:rPr>
      </w:pPr>
      <w:r>
        <w:rPr>
          <w:rFonts w:hint="eastAsia" w:hAnsi="宋体"/>
          <w:color w:val="000000"/>
        </w:rPr>
        <w:t>实验实训条件</w:t>
      </w:r>
    </w:p>
    <w:p>
      <w:pPr>
        <w:spacing w:line="360" w:lineRule="exact"/>
        <w:rPr>
          <w:rFonts w:hint="eastAsia" w:hAnsi="宋体"/>
          <w:color w:val="000000"/>
        </w:rPr>
      </w:pPr>
    </w:p>
    <w:p>
      <w:pPr>
        <w:spacing w:line="360" w:lineRule="exact"/>
        <w:rPr>
          <w:rFonts w:hint="eastAsia" w:hAnsi="宋体"/>
          <w:color w:val="000000"/>
        </w:rPr>
      </w:pPr>
    </w:p>
    <w:p>
      <w:pPr>
        <w:pStyle w:val="7"/>
        <w:numPr>
          <w:ilvl w:val="0"/>
          <w:numId w:val="2"/>
        </w:numPr>
        <w:spacing w:line="360" w:lineRule="exact"/>
        <w:ind w:firstLineChars="0"/>
        <w:rPr>
          <w:rFonts w:hint="eastAsia" w:hAnsi="宋体"/>
          <w:color w:val="000000"/>
        </w:rPr>
      </w:pPr>
      <w:r>
        <w:rPr>
          <w:rFonts w:hint="eastAsia" w:hAnsi="宋体"/>
          <w:color w:val="000000"/>
        </w:rPr>
        <w:t>师资条件</w:t>
      </w:r>
    </w:p>
    <w:p>
      <w:pPr>
        <w:pStyle w:val="7"/>
        <w:rPr>
          <w:rFonts w:hint="eastAsia" w:hAnsi="宋体"/>
          <w:color w:val="000000"/>
        </w:rPr>
      </w:pPr>
    </w:p>
    <w:p>
      <w:pPr>
        <w:pStyle w:val="7"/>
        <w:spacing w:line="360" w:lineRule="exact"/>
        <w:ind w:left="360" w:firstLine="0" w:firstLineChars="0"/>
        <w:rPr>
          <w:rFonts w:hint="eastAsia" w:hAnsi="宋体"/>
          <w:color w:val="000000"/>
        </w:rPr>
      </w:pPr>
    </w:p>
    <w:p>
      <w:pPr>
        <w:pStyle w:val="7"/>
        <w:numPr>
          <w:ilvl w:val="0"/>
          <w:numId w:val="2"/>
        </w:numPr>
        <w:spacing w:line="360" w:lineRule="exact"/>
        <w:ind w:firstLineChars="0"/>
        <w:rPr>
          <w:rFonts w:hAnsi="宋体"/>
          <w:color w:val="000000"/>
        </w:rPr>
      </w:pPr>
      <w:r>
        <w:rPr>
          <w:rFonts w:hint="eastAsia" w:hAnsi="宋体"/>
          <w:color w:val="000000"/>
        </w:rPr>
        <w:t>数字化教学资源条件</w:t>
      </w:r>
    </w:p>
    <w:p>
      <w:pPr>
        <w:pStyle w:val="2"/>
        <w:spacing w:before="0" w:line="340" w:lineRule="exact"/>
        <w:ind w:firstLine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E035C"/>
    <w:multiLevelType w:val="multilevel"/>
    <w:tmpl w:val="6BCE035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524C33"/>
    <w:multiLevelType w:val="multilevel"/>
    <w:tmpl w:val="6C524C33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3B"/>
    <w:rsid w:val="00003F69"/>
    <w:rsid w:val="000909C0"/>
    <w:rsid w:val="00131679"/>
    <w:rsid w:val="00174228"/>
    <w:rsid w:val="00191D52"/>
    <w:rsid w:val="001A74E1"/>
    <w:rsid w:val="001D719D"/>
    <w:rsid w:val="002B703B"/>
    <w:rsid w:val="00341639"/>
    <w:rsid w:val="0034653A"/>
    <w:rsid w:val="003C5C24"/>
    <w:rsid w:val="004368F5"/>
    <w:rsid w:val="004A718D"/>
    <w:rsid w:val="004B439E"/>
    <w:rsid w:val="004E0EBD"/>
    <w:rsid w:val="00525722"/>
    <w:rsid w:val="00581444"/>
    <w:rsid w:val="00600870"/>
    <w:rsid w:val="007427A9"/>
    <w:rsid w:val="007B1D27"/>
    <w:rsid w:val="0082761A"/>
    <w:rsid w:val="00981154"/>
    <w:rsid w:val="009D63B6"/>
    <w:rsid w:val="00B245D7"/>
    <w:rsid w:val="00BA30AF"/>
    <w:rsid w:val="00BB1D81"/>
    <w:rsid w:val="00BE2BE9"/>
    <w:rsid w:val="00C179F5"/>
    <w:rsid w:val="00D608A6"/>
    <w:rsid w:val="00DA63ED"/>
    <w:rsid w:val="00E306CC"/>
    <w:rsid w:val="00ED42C1"/>
    <w:rsid w:val="01CA0353"/>
    <w:rsid w:val="24C26A95"/>
    <w:rsid w:val="5DC91AD3"/>
    <w:rsid w:val="754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6"/>
    <w:unhideWhenUsed/>
    <w:qFormat/>
    <w:uiPriority w:val="99"/>
    <w:pPr>
      <w:autoSpaceDE w:val="0"/>
      <w:autoSpaceDN w:val="0"/>
      <w:adjustRightInd w:val="0"/>
      <w:spacing w:before="74" w:after="100" w:afterAutospacing="1" w:line="360" w:lineRule="auto"/>
      <w:ind w:firstLine="499"/>
    </w:pPr>
    <w:rPr>
      <w:rFonts w:ascii="宋体" w:hAnsi="宋体"/>
      <w:kern w:val="0"/>
      <w:sz w:val="22"/>
      <w:szCs w:val="22"/>
    </w:rPr>
  </w:style>
  <w:style w:type="table" w:styleId="4">
    <w:name w:val="Table Grid"/>
    <w:basedOn w:val="3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正文文本缩进 Char"/>
    <w:basedOn w:val="5"/>
    <w:link w:val="2"/>
    <w:uiPriority w:val="99"/>
    <w:rPr>
      <w:rFonts w:ascii="宋体" w:hAnsi="宋体" w:eastAsia="宋体" w:cs="宋体"/>
      <w:kern w:val="0"/>
      <w:sz w:val="2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列出段落1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154</Words>
  <Characters>879</Characters>
  <Lines>7</Lines>
  <Paragraphs>2</Paragraphs>
  <TotalTime>6</TotalTime>
  <ScaleCrop>false</ScaleCrop>
  <LinksUpToDate>false</LinksUpToDate>
  <CharactersWithSpaces>1031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2019-05-20T01:54:00Z</dcterms:created>
  <dc:creator>微软用户</dc:creator>
  <cp:lastModifiedBy>Administrator</cp:lastModifiedBy>
  <dcterms:modified xsi:type="dcterms:W3CDTF">2019-05-20T02:16:54Z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